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28" w:rsidRPr="00A43528" w:rsidRDefault="006D4F84" w:rsidP="00A43528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4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</w:t>
      </w:r>
      <w:r w:rsidR="00A43528" w:rsidRPr="00A4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ное учреждение культуры </w:t>
      </w:r>
      <w:r w:rsidR="0044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</w:t>
      </w:r>
      <w:r w:rsidR="00C2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A43528" w:rsidRPr="00A43528" w:rsidRDefault="00445931" w:rsidP="00C20FD9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«Первомай</w:t>
      </w:r>
      <w:r w:rsidR="00C2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сельский д</w:t>
      </w:r>
      <w:r w:rsidR="00A43528" w:rsidRPr="00A4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2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культуры» </w:t>
      </w:r>
    </w:p>
    <w:p w:rsidR="00A43528" w:rsidRPr="00A43528" w:rsidRDefault="00A43528" w:rsidP="00A43528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43528" w:rsidRPr="00A43528" w:rsidRDefault="00445931" w:rsidP="00C20FD9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 МБ</w:t>
      </w:r>
      <w:r w:rsidR="00A43528" w:rsidRPr="00A4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«Первомай</w:t>
      </w:r>
      <w:r w:rsidR="00C20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СДК»</w:t>
      </w:r>
    </w:p>
    <w:p w:rsidR="00A43528" w:rsidRPr="00A43528" w:rsidRDefault="00445931" w:rsidP="00A4352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Г.Н Литвинова </w:t>
      </w:r>
    </w:p>
    <w:p w:rsidR="00A43528" w:rsidRPr="00E91CE1" w:rsidRDefault="00F5076F" w:rsidP="00A4352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9  от 07</w:t>
      </w:r>
      <w:r w:rsidR="00E91CE1" w:rsidRPr="00E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E91CE1" w:rsidRPr="00E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A43528" w:rsidRPr="00E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43528" w:rsidRPr="00A43528" w:rsidRDefault="00A43528" w:rsidP="00A43528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DC3322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33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Антикоррупционная политика</w:t>
      </w:r>
    </w:p>
    <w:p w:rsidR="00A43528" w:rsidRPr="00DC3322" w:rsidRDefault="00445931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МБУК «Первомай</w:t>
      </w:r>
      <w:r w:rsidR="00C20FD9" w:rsidRPr="00DC33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ский СДК</w:t>
      </w:r>
      <w:r w:rsidR="00A43528" w:rsidRPr="00DC33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322" w:rsidRDefault="00DC3322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322" w:rsidRDefault="00DC3322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322" w:rsidRDefault="00DC3322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322" w:rsidRDefault="00DC3322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6D4F84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4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Первомайское</w:t>
      </w: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43528" w:rsidRPr="00A43528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внедрения антикоррупционной политики</w:t>
      </w:r>
    </w:p>
    <w:p w:rsidR="00A43528" w:rsidRPr="00A43528" w:rsidRDefault="00A43528" w:rsidP="00A435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политике понятия и определения</w:t>
      </w:r>
    </w:p>
    <w:p w:rsidR="00A43528" w:rsidRPr="00A43528" w:rsidRDefault="00A43528" w:rsidP="00A435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антикоррупционной деятельности организации</w:t>
      </w:r>
    </w:p>
    <w:p w:rsidR="00A43528" w:rsidRPr="00A43528" w:rsidRDefault="00A43528" w:rsidP="00A435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политики и круг лиц, попадающих под ее действие</w:t>
      </w:r>
    </w:p>
    <w:p w:rsidR="00A43528" w:rsidRPr="00A43528" w:rsidRDefault="00A43528" w:rsidP="00A435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должностных лиц учреждения, ответственных за реализацию антикоррупционной политики</w:t>
      </w:r>
    </w:p>
    <w:p w:rsidR="00A43528" w:rsidRPr="00A43528" w:rsidRDefault="00A43528" w:rsidP="00A435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закрепление обязанностей работников и учреждения, связанных с предупреждением и противодействием коррупции</w:t>
      </w:r>
    </w:p>
    <w:p w:rsidR="00A43528" w:rsidRPr="00A43528" w:rsidRDefault="00A43528" w:rsidP="00A435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A43528" w:rsidRPr="00A43528" w:rsidRDefault="00A43528" w:rsidP="00A435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сотрудников за несоблюдение требований антикоррупционной политики</w:t>
      </w:r>
    </w:p>
    <w:p w:rsidR="00A43528" w:rsidRPr="00A43528" w:rsidRDefault="00A43528" w:rsidP="00A435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пересмотра и внесения изменений в антикоррупционную политику учреждения </w:t>
      </w: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A43528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22" w:rsidRDefault="00DC3322" w:rsidP="00DC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322" w:rsidRDefault="00DC3322" w:rsidP="00DC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22" w:rsidRDefault="00DC3322" w:rsidP="00DC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22" w:rsidRDefault="00DC3322" w:rsidP="00DC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22" w:rsidRDefault="00DC3322" w:rsidP="00DC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22" w:rsidRDefault="00DC3322" w:rsidP="00DC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22" w:rsidRDefault="00DC3322" w:rsidP="00DC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22" w:rsidRDefault="00DC3322" w:rsidP="00DC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22" w:rsidRPr="00DC3322" w:rsidRDefault="00DC3322" w:rsidP="00DC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8" w:rsidRPr="006D4F84" w:rsidRDefault="00A43528" w:rsidP="00DC3322">
      <w:pPr>
        <w:keepNext/>
        <w:tabs>
          <w:tab w:val="left" w:pos="567"/>
        </w:tabs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DC33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 xml:space="preserve">   </w:t>
      </w:r>
      <w:r w:rsidR="00DC3322" w:rsidRPr="00DC33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1.</w:t>
      </w:r>
      <w:r w:rsidRPr="00A4352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x-none" w:eastAsia="x-none"/>
        </w:rPr>
        <w:t xml:space="preserve">    </w:t>
      </w:r>
      <w:r w:rsidRPr="006D4F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Цели и задачи  внедрения антикоррупционной политики</w:t>
      </w:r>
    </w:p>
    <w:p w:rsidR="00A43528" w:rsidRPr="006D4F84" w:rsidRDefault="00A43528" w:rsidP="00A43528">
      <w:pPr>
        <w:keepNext/>
        <w:tabs>
          <w:tab w:val="left" w:pos="567"/>
        </w:tabs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6D4F8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x-none" w:eastAsia="x-none"/>
        </w:rPr>
        <w:t xml:space="preserve"> </w:t>
      </w:r>
      <w:r w:rsidRPr="006D4F8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       </w:t>
      </w:r>
    </w:p>
    <w:p w:rsidR="00A43528" w:rsidRPr="006D4F84" w:rsidRDefault="00A43528" w:rsidP="00A43528">
      <w:pPr>
        <w:keepNext/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6D4F8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        Антикоррупционная политика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1 г"/>
        </w:smartTagPr>
        <w:r w:rsidRPr="006D4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273-ФЗ «О противодействии коррупции» (далее – Федеральный закон № 273-ФЗ). Нормативными актами, регулирующими  антикоррупционную политику, являются закон «О контрактной системе в сфере закупок товаров, работ, услуг для обеспечения государственных и муниципальных нужд», Устав</w:t>
      </w:r>
      <w:r w:rsidR="00C20FD9"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931"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«Первомайский СДК»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локальные акты.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ст.13.3  Федерального закона № 273-ФЗ меры по предупреждению коррупции, принимаемые в учреждении, могут включать:</w:t>
      </w:r>
    </w:p>
    <w:p w:rsidR="00A43528" w:rsidRPr="006D4F84" w:rsidRDefault="00A43528" w:rsidP="00A4352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43528" w:rsidRPr="006D4F84" w:rsidRDefault="00A43528" w:rsidP="00A4352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сотрудничество учреждения с правоохранительными органами;</w:t>
      </w:r>
    </w:p>
    <w:p w:rsidR="00A43528" w:rsidRPr="006D4F84" w:rsidRDefault="00A43528" w:rsidP="00A4352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A43528" w:rsidRPr="006D4F84" w:rsidRDefault="00A43528" w:rsidP="00A4352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кодекса этики и служебного поведения работников учреждения;</w:t>
      </w:r>
    </w:p>
    <w:p w:rsidR="00A43528" w:rsidRPr="006D4F84" w:rsidRDefault="00A43528" w:rsidP="00A4352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A43528" w:rsidRPr="006D4F84" w:rsidRDefault="00A43528" w:rsidP="00A4352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A43528" w:rsidRPr="006D4F84" w:rsidRDefault="00A43528" w:rsidP="00A43528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Антикоррупционная политика направлена на реализацию данных мер.</w:t>
      </w:r>
    </w:p>
    <w:p w:rsidR="00A43528" w:rsidRPr="006D4F84" w:rsidRDefault="00A43528" w:rsidP="00A43528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43528" w:rsidRPr="006D4F84" w:rsidRDefault="00DC3322" w:rsidP="00DC3322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6D4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2.</w:t>
      </w:r>
      <w:r w:rsidR="00A43528" w:rsidRPr="006D4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      Используемые в политике понятия и определения</w:t>
      </w:r>
    </w:p>
    <w:p w:rsidR="00A43528" w:rsidRPr="006D4F84" w:rsidRDefault="00A43528" w:rsidP="00A435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28" w:rsidRPr="006D4F84" w:rsidRDefault="00A43528" w:rsidP="00A43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D4F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Коррупция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A43528" w:rsidRPr="006D4F84" w:rsidRDefault="00A43528" w:rsidP="00A43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Противодействие коррупции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A43528" w:rsidRPr="006D4F84" w:rsidRDefault="00A43528" w:rsidP="00A43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A43528" w:rsidRPr="006D4F84" w:rsidRDefault="00A43528" w:rsidP="00A43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Контрагент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43528" w:rsidRPr="006D4F84" w:rsidRDefault="00A43528" w:rsidP="00A43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F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Взятка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таким действиям (бездействию), а равно за общее покровительство или попустительство по службе.</w:t>
      </w:r>
    </w:p>
    <w:p w:rsidR="00A43528" w:rsidRPr="006D4F84" w:rsidRDefault="00A43528" w:rsidP="00A43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F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Коммерческий подкуп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43528" w:rsidRPr="006D4F84" w:rsidRDefault="00A43528" w:rsidP="00A435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Конфликт интересов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</w:t>
      </w:r>
    </w:p>
    <w:p w:rsidR="00A43528" w:rsidRPr="006D4F84" w:rsidRDefault="00A43528" w:rsidP="00A435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правами и законными интересами организации, </w:t>
      </w:r>
      <w:proofErr w:type="gram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способное</w:t>
      </w:r>
      <w:proofErr w:type="gram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A43528" w:rsidRPr="006D4F84" w:rsidRDefault="00A43528" w:rsidP="00A43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Личная заинтересованность работника (представителя организации)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43528" w:rsidRPr="006D4F84" w:rsidRDefault="00A43528" w:rsidP="00A43528">
      <w:pPr>
        <w:keepNext/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bookmarkStart w:id="1" w:name="_Toc369706629"/>
    </w:p>
    <w:bookmarkEnd w:id="1"/>
    <w:p w:rsidR="00A43528" w:rsidRPr="006D4F84" w:rsidRDefault="00A43528" w:rsidP="00A43528">
      <w:pPr>
        <w:keepNext/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D4F84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3.</w:t>
      </w:r>
      <w:r w:rsidRPr="006D4F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Основные принципы антикоррупционной  деятельности организации</w:t>
      </w:r>
    </w:p>
    <w:p w:rsidR="00A43528" w:rsidRPr="006D4F84" w:rsidRDefault="00A43528" w:rsidP="00A435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28" w:rsidRPr="006D4F84" w:rsidRDefault="00A43528" w:rsidP="00A43528">
      <w:pPr>
        <w:keepNext/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D4F8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    Системы мер противодействия коррупции основывается на следующих</w:t>
      </w:r>
      <w:r w:rsidRPr="006D4F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ключевых принципах:</w:t>
      </w:r>
    </w:p>
    <w:p w:rsidR="00A43528" w:rsidRPr="006D4F84" w:rsidRDefault="00A43528" w:rsidP="00A4352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соответствия политики учреждения действующему законодательству и общепринятым нормам.</w:t>
      </w:r>
    </w:p>
    <w:p w:rsidR="00A43528" w:rsidRPr="006D4F84" w:rsidRDefault="00A43528" w:rsidP="00A43528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A43528" w:rsidRPr="006D4F84" w:rsidRDefault="00A43528" w:rsidP="00A4352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личного примера руководства.</w:t>
      </w:r>
    </w:p>
    <w:p w:rsidR="00A43528" w:rsidRPr="006D4F84" w:rsidRDefault="00A43528" w:rsidP="00A43528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43528" w:rsidRPr="006D4F84" w:rsidRDefault="00A43528" w:rsidP="00A4352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вовлеченности работников.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43528" w:rsidRPr="006D4F84" w:rsidRDefault="00A43528" w:rsidP="00A4352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A43528" w:rsidRPr="006D4F84" w:rsidRDefault="00A43528" w:rsidP="00A43528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A43528" w:rsidRPr="006D4F84" w:rsidRDefault="00A43528" w:rsidP="00A4352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эффективности  антикоррупционных процедур.</w:t>
      </w:r>
    </w:p>
    <w:p w:rsidR="00A43528" w:rsidRPr="006D4F84" w:rsidRDefault="00A43528" w:rsidP="00A43528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528" w:rsidRPr="006D4F84" w:rsidRDefault="00A43528" w:rsidP="00A4352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A43528" w:rsidRPr="006D4F84" w:rsidRDefault="00A43528" w:rsidP="00A43528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</w:t>
      </w:r>
    </w:p>
    <w:p w:rsidR="00A43528" w:rsidRPr="006D4F84" w:rsidRDefault="00A43528" w:rsidP="00A435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A43528" w:rsidRPr="006D4F84" w:rsidRDefault="00A43528" w:rsidP="00A4352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открытости  </w:t>
      </w:r>
    </w:p>
    <w:p w:rsidR="00A43528" w:rsidRPr="006D4F84" w:rsidRDefault="00A43528" w:rsidP="00A43528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A43528" w:rsidRPr="006D4F84" w:rsidRDefault="00A43528" w:rsidP="00A43528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A43528" w:rsidRPr="006D4F84" w:rsidRDefault="00A43528" w:rsidP="00A43528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A43528" w:rsidRPr="006D4F84" w:rsidRDefault="00A43528" w:rsidP="00A43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28" w:rsidRPr="006D4F84" w:rsidRDefault="00A43528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6D4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Область применения политики и круг лиц, попадающих под ее действие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учреждения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43528" w:rsidRPr="006D4F84" w:rsidRDefault="00A43528" w:rsidP="00A43528">
      <w:pPr>
        <w:keepNext/>
        <w:spacing w:after="0" w:line="240" w:lineRule="auto"/>
        <w:ind w:firstLine="624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6D4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5.  </w:t>
      </w:r>
      <w:r w:rsidRPr="006D4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Определение должностных лиц, ответственных за реализацию антикоррупционной  политики</w:t>
      </w:r>
    </w:p>
    <w:p w:rsidR="00A43528" w:rsidRPr="006D4F84" w:rsidRDefault="00A43528" w:rsidP="00A43528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A43528" w:rsidRPr="006D4F84" w:rsidRDefault="00A43528" w:rsidP="00A43528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функции и полномочия   директора в сфере противодействия коррупции определены его Должностной инструкцией. 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обязанности  включают в частности:</w:t>
      </w:r>
    </w:p>
    <w:p w:rsidR="00A43528" w:rsidRPr="006D4F84" w:rsidRDefault="00A43528" w:rsidP="00A43528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A43528" w:rsidRPr="006D4F84" w:rsidRDefault="00A43528" w:rsidP="00A43528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A43528" w:rsidRPr="006D4F84" w:rsidRDefault="00A43528" w:rsidP="00A43528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A43528" w:rsidRPr="006D4F84" w:rsidRDefault="00A43528" w:rsidP="00A43528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A43528" w:rsidRPr="006D4F84" w:rsidRDefault="00A43528" w:rsidP="00A43528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заполнения и рассмотрения деклараций о конфликте интересов;</w:t>
      </w:r>
    </w:p>
    <w:p w:rsidR="00A43528" w:rsidRPr="006D4F84" w:rsidRDefault="00A43528" w:rsidP="00A43528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43528" w:rsidRPr="006D4F84" w:rsidRDefault="00A43528" w:rsidP="00A43528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A43528" w:rsidRPr="006D4F84" w:rsidRDefault="00A43528" w:rsidP="00A43528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43528" w:rsidRPr="006D4F84" w:rsidRDefault="00A43528" w:rsidP="00A43528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A43528" w:rsidRPr="006D4F84" w:rsidRDefault="00A43528" w:rsidP="00A43528">
      <w:p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28" w:rsidRPr="006D4F84" w:rsidRDefault="00A43528" w:rsidP="00A43528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Pr="006D4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и закрепление обязанностей работников и учреждения, связанных с предупреждением и противодействием коррупции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учреждения в связи с предупреждением и противодействием коррупции являются общими для всех сотрудников учреждения.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A43528" w:rsidRPr="006D4F84" w:rsidRDefault="00A43528" w:rsidP="00A43528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A43528" w:rsidRPr="006D4F84" w:rsidRDefault="00A43528" w:rsidP="00A43528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A43528" w:rsidRPr="006D4F84" w:rsidRDefault="00A43528" w:rsidP="00A43528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незамедлительно информировать директора, руководство учреждения о случаях склонения работника к совершению коррупционных правонарушений;</w:t>
      </w:r>
    </w:p>
    <w:p w:rsidR="00A43528" w:rsidRPr="006D4F84" w:rsidRDefault="00A43528" w:rsidP="00A43528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начальника,   руководство учреждения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43528" w:rsidRPr="006D4F84" w:rsidRDefault="00A43528" w:rsidP="00A43528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учреждении, могут  включаться права и обязанности работника и  работодателя, установленные  данным локальным нормативным актом - «Антикоррупционная политика». 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</w:t>
      </w:r>
    </w:p>
    <w:p w:rsidR="00A43528" w:rsidRPr="006D4F84" w:rsidRDefault="00A43528" w:rsidP="00A43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A43528" w:rsidRPr="006D4F84" w:rsidRDefault="00A43528" w:rsidP="00A43528">
      <w:pPr>
        <w:keepNext/>
        <w:tabs>
          <w:tab w:val="left" w:pos="284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A43528" w:rsidRPr="006D4F84" w:rsidRDefault="00A43528" w:rsidP="00A43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43528" w:rsidRPr="006D4F84" w:rsidRDefault="00A43528" w:rsidP="00A43528">
      <w:pPr>
        <w:keepNext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D4F84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 xml:space="preserve">7. </w:t>
      </w:r>
      <w:r w:rsidRPr="006D4F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Установление перечня реализуемых  антикоррупционных мероприятий, стандартов и процедур и  порядок их выполнения (применения)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80"/>
      </w:tblGrid>
      <w:tr w:rsidR="00A43528" w:rsidRPr="006D4F84" w:rsidTr="006E64E6">
        <w:trPr>
          <w:trHeight w:val="350"/>
        </w:trPr>
        <w:tc>
          <w:tcPr>
            <w:tcW w:w="28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 w:val="restart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A43528" w:rsidRPr="006D4F84" w:rsidTr="006E64E6">
        <w:trPr>
          <w:trHeight w:val="53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договора работников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 w:val="restart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 w:val="restart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 w:val="restart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 w:val="restart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43528" w:rsidRPr="006D4F84" w:rsidTr="006E64E6">
        <w:trPr>
          <w:trHeight w:val="457"/>
        </w:trPr>
        <w:tc>
          <w:tcPr>
            <w:tcW w:w="2880" w:type="dxa"/>
            <w:vMerge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43528" w:rsidRPr="006D4F84" w:rsidRDefault="00A43528" w:rsidP="00A43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  приложения к антикоррупционной политике ежегодно утверждается план реализации антикоррупционных мероприятий. </w:t>
      </w:r>
      <w:bookmarkStart w:id="2" w:name="_Toc369706632"/>
    </w:p>
    <w:p w:rsidR="00A43528" w:rsidRPr="006D4F84" w:rsidRDefault="00A43528" w:rsidP="00A43528">
      <w:pPr>
        <w:keepNext/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A43528" w:rsidRPr="006D4F84" w:rsidRDefault="00DC3322" w:rsidP="00DC3322">
      <w:pPr>
        <w:keepNext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3" w:name="_Toc369706633"/>
      <w:bookmarkEnd w:id="2"/>
      <w:r w:rsidRPr="006D4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8.</w:t>
      </w:r>
      <w:r w:rsidR="00A43528" w:rsidRPr="006D4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Оценка коррупционных рисков</w:t>
      </w:r>
      <w:bookmarkEnd w:id="3"/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оценки коррупционных рисков является определение конкретных  процессов и видов деятельности учреждения, при реализации которых наиболее высока вероятность совершения работниками организации коррупционных правонарушений,  как в целях получения личной выгоды, так и в целях получения выгоды учреждением. </w:t>
      </w:r>
    </w:p>
    <w:p w:rsidR="00A43528" w:rsidRPr="006D4F84" w:rsidRDefault="00A43528" w:rsidP="00A43528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</w:p>
    <w:p w:rsidR="00A43528" w:rsidRPr="006D4F84" w:rsidRDefault="00A43528" w:rsidP="00A435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рационально использовать ресурсы, направляемые на проведение работы по профилактике коррупции.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Порядок проведения оценки коррупционных рисков:</w:t>
      </w:r>
    </w:p>
    <w:p w:rsidR="00A43528" w:rsidRPr="006D4F84" w:rsidRDefault="00A43528" w:rsidP="00A43528">
      <w:pPr>
        <w:numPr>
          <w:ilvl w:val="0"/>
          <w:numId w:val="12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деятельность учреждения в виде отдельных  процессов, в каждом из которых выделить составные элементы (</w:t>
      </w:r>
      <w:proofErr w:type="spell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3528" w:rsidRPr="006D4F84" w:rsidRDefault="00A43528" w:rsidP="00A43528">
      <w:pPr>
        <w:numPr>
          <w:ilvl w:val="0"/>
          <w:numId w:val="12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выделить «критические точки» - для каждого  процесса и определить те элементы (</w:t>
      </w:r>
      <w:proofErr w:type="spell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A43528" w:rsidRPr="006D4F84" w:rsidRDefault="00A43528" w:rsidP="00A43528">
      <w:pPr>
        <w:numPr>
          <w:ilvl w:val="0"/>
          <w:numId w:val="12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</w:t>
      </w:r>
      <w:proofErr w:type="spell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подпроцесса</w:t>
      </w:r>
      <w:proofErr w:type="spell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43528" w:rsidRPr="006D4F84" w:rsidRDefault="00A43528" w:rsidP="00A43528">
      <w:pPr>
        <w:tabs>
          <w:tab w:val="num" w:pos="2160"/>
        </w:tabs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A43528" w:rsidRPr="006D4F84" w:rsidRDefault="00A43528" w:rsidP="00A43528">
      <w:pPr>
        <w:tabs>
          <w:tab w:val="num" w:pos="2160"/>
        </w:tabs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A43528" w:rsidRPr="006D4F84" w:rsidRDefault="00A43528" w:rsidP="00A43528">
      <w:pPr>
        <w:tabs>
          <w:tab w:val="num" w:pos="2160"/>
        </w:tabs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вероятные формы осуществления коррупционных платежей.</w:t>
      </w:r>
    </w:p>
    <w:p w:rsidR="00A43528" w:rsidRPr="006D4F84" w:rsidRDefault="00A43528" w:rsidP="00A43528">
      <w:pPr>
        <w:numPr>
          <w:ilvl w:val="0"/>
          <w:numId w:val="12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</w:t>
      </w:r>
    </w:p>
    <w:p w:rsidR="00A43528" w:rsidRPr="006D4F84" w:rsidRDefault="00A43528" w:rsidP="00A43528">
      <w:pPr>
        <w:numPr>
          <w:ilvl w:val="0"/>
          <w:numId w:val="12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комплекс мер по устранению или минимизации коррупционных рисков.  </w:t>
      </w:r>
    </w:p>
    <w:p w:rsidR="00A43528" w:rsidRPr="006D4F84" w:rsidRDefault="00A43528" w:rsidP="00A43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28" w:rsidRPr="006D4F84" w:rsidRDefault="00DC3322" w:rsidP="00A43528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4" w:name="_Toc369706634"/>
      <w:r w:rsidRPr="006D4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9</w:t>
      </w:r>
      <w:r w:rsidR="00A43528" w:rsidRPr="006D4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. </w:t>
      </w:r>
      <w:bookmarkEnd w:id="4"/>
      <w:r w:rsidR="00A43528" w:rsidRPr="006D4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Ответственность  сотрудников за несоблюдение требований антикоррупционной политики</w:t>
      </w:r>
    </w:p>
    <w:p w:rsidR="00A43528" w:rsidRPr="006D4F84" w:rsidRDefault="00A43528" w:rsidP="00A43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учитывать, что конфликт интересов может принимать множество различных форм. </w:t>
      </w:r>
      <w:r w:rsidRPr="006D4F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регулирования и предотвращения конфликта интересов в деятельности своих работников в учреждении следует  принять Положение о конфликте интересов. 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A43528" w:rsidRPr="006D4F84" w:rsidRDefault="00A43528" w:rsidP="00A43528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положения о конфликте интересов;</w:t>
      </w:r>
    </w:p>
    <w:p w:rsidR="00A43528" w:rsidRPr="006D4F84" w:rsidRDefault="00A43528" w:rsidP="00A43528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положении понятия и определения;</w:t>
      </w:r>
    </w:p>
    <w:p w:rsidR="00A43528" w:rsidRPr="006D4F84" w:rsidRDefault="00A43528" w:rsidP="00A43528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лиц, попадающих под действие положения;</w:t>
      </w:r>
    </w:p>
    <w:p w:rsidR="00A43528" w:rsidRPr="006D4F84" w:rsidRDefault="00A43528" w:rsidP="00A43528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управления конфликтом интересов в учреждении;</w:t>
      </w:r>
    </w:p>
    <w:p w:rsidR="00A43528" w:rsidRPr="006D4F84" w:rsidRDefault="00A43528" w:rsidP="00A43528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</w:t>
      </w:r>
    </w:p>
    <w:p w:rsidR="00A43528" w:rsidRPr="006D4F84" w:rsidRDefault="00A43528" w:rsidP="00A43528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интересов;</w:t>
      </w:r>
    </w:p>
    <w:p w:rsidR="00A43528" w:rsidRPr="006D4F84" w:rsidRDefault="00A43528" w:rsidP="00A43528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A43528" w:rsidRPr="006D4F84" w:rsidRDefault="00A43528" w:rsidP="00A43528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работников за несоблюдение положения о конфликте интересов.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 в учреждении могут быть положены следующие принципы:</w:t>
      </w:r>
    </w:p>
    <w:p w:rsidR="00A43528" w:rsidRPr="006D4F84" w:rsidRDefault="00A43528" w:rsidP="00A43528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A43528" w:rsidRPr="006D4F84" w:rsidRDefault="00A43528" w:rsidP="00A43528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A43528" w:rsidRPr="006D4F84" w:rsidRDefault="00A43528" w:rsidP="00A43528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A43528" w:rsidRPr="006D4F84" w:rsidRDefault="00A43528" w:rsidP="00A43528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A43528" w:rsidRPr="006D4F84" w:rsidRDefault="00A43528" w:rsidP="00A43528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интересов: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A43528" w:rsidRPr="006D4F84" w:rsidRDefault="00A43528" w:rsidP="00A43528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A43528" w:rsidRPr="006D4F84" w:rsidRDefault="00A43528" w:rsidP="00A43528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A43528" w:rsidRPr="006D4F84" w:rsidRDefault="00A43528" w:rsidP="00A43528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возможно установление различных видов раскрытия конфликта интересов, в том числе:</w:t>
      </w:r>
    </w:p>
    <w:p w:rsidR="00A43528" w:rsidRPr="006D4F84" w:rsidRDefault="00A43528" w:rsidP="00A43528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A43528" w:rsidRPr="006D4F84" w:rsidRDefault="00A43528" w:rsidP="00A43528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A43528" w:rsidRPr="006D4F84" w:rsidRDefault="00A43528" w:rsidP="00A43528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информация должна быть тщательно проверена уполномоченным на это должностным лицом</w:t>
      </w:r>
      <w:r w:rsidRPr="006D4F84">
        <w:rPr>
          <w:rFonts w:ascii="Times New Roman" w:eastAsia="Times New Roman" w:hAnsi="Times New Roman" w:cs="Times New Roman"/>
          <w:sz w:val="24"/>
          <w:szCs w:val="24"/>
        </w:rPr>
        <w:t xml:space="preserve"> с целью оценки серьезности возникающих для 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D4F84">
        <w:rPr>
          <w:rFonts w:ascii="Times New Roman" w:eastAsia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иметь в виду, что в итоге этой работы учреждение  может </w:t>
      </w:r>
      <w:proofErr w:type="spell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</w:t>
      </w:r>
      <w:proofErr w:type="spell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A43528" w:rsidRPr="006D4F84" w:rsidRDefault="00A43528" w:rsidP="00A43528">
      <w:pPr>
        <w:widowControl w:val="0"/>
        <w:numPr>
          <w:ilvl w:val="0"/>
          <w:numId w:val="9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43528" w:rsidRPr="006D4F84" w:rsidRDefault="00A43528" w:rsidP="00A43528">
      <w:pPr>
        <w:widowControl w:val="0"/>
        <w:numPr>
          <w:ilvl w:val="0"/>
          <w:numId w:val="9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43528" w:rsidRPr="006D4F84" w:rsidRDefault="00A43528" w:rsidP="00A43528">
      <w:pPr>
        <w:widowControl w:val="0"/>
        <w:numPr>
          <w:ilvl w:val="0"/>
          <w:numId w:val="9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A43528" w:rsidRPr="006D4F84" w:rsidRDefault="00A43528" w:rsidP="00A43528">
      <w:pPr>
        <w:widowControl w:val="0"/>
        <w:numPr>
          <w:ilvl w:val="0"/>
          <w:numId w:val="9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43528" w:rsidRPr="006D4F84" w:rsidRDefault="00A43528" w:rsidP="00A43528">
      <w:pPr>
        <w:widowControl w:val="0"/>
        <w:numPr>
          <w:ilvl w:val="0"/>
          <w:numId w:val="9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43528" w:rsidRPr="006D4F84" w:rsidRDefault="00A43528" w:rsidP="00A43528">
      <w:pPr>
        <w:widowControl w:val="0"/>
        <w:numPr>
          <w:ilvl w:val="0"/>
          <w:numId w:val="9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43528" w:rsidRPr="006D4F84" w:rsidRDefault="00A43528" w:rsidP="00A43528">
      <w:pPr>
        <w:widowControl w:val="0"/>
        <w:numPr>
          <w:ilvl w:val="0"/>
          <w:numId w:val="9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A43528" w:rsidRPr="006D4F84" w:rsidRDefault="00A43528" w:rsidP="00A43528">
      <w:pPr>
        <w:widowControl w:val="0"/>
        <w:numPr>
          <w:ilvl w:val="0"/>
          <w:numId w:val="9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из учреждения по инициативе работника;</w:t>
      </w:r>
    </w:p>
    <w:p w:rsidR="00A43528" w:rsidRPr="006D4F84" w:rsidRDefault="00A43528" w:rsidP="00A43528">
      <w:pPr>
        <w:widowControl w:val="0"/>
        <w:numPr>
          <w:ilvl w:val="0"/>
          <w:numId w:val="9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43528" w:rsidRPr="006D4F84" w:rsidRDefault="00A43528" w:rsidP="00A4352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Ответственными за прием сведений о возникающих (имеющихся) конфликтах интересов  являются 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A43528" w:rsidRPr="006D4F84" w:rsidRDefault="00A43528" w:rsidP="00A43528">
      <w:pPr>
        <w:keepNext/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6D4F8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В учреждении должно проводиться обучения работников по вопросам профилактики и противодействия коррупции. Цели и задачи обучения определяют тематику и форму занятий. Обучение  проводится по следующей тематике:</w:t>
      </w:r>
    </w:p>
    <w:p w:rsidR="00A43528" w:rsidRPr="006D4F84" w:rsidRDefault="00A43528" w:rsidP="00A43528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 государственном и частном секторах экономики (теоретическая);</w:t>
      </w:r>
    </w:p>
    <w:p w:rsidR="00A43528" w:rsidRPr="006D4F84" w:rsidRDefault="00A43528" w:rsidP="00A43528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ответственность за совершение коррупционных правонарушений; </w:t>
      </w:r>
    </w:p>
    <w:p w:rsidR="00A43528" w:rsidRPr="006D4F84" w:rsidRDefault="00A43528" w:rsidP="00A43528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</w:t>
      </w:r>
      <w:proofErr w:type="gram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3528" w:rsidRPr="006D4F84" w:rsidRDefault="00A43528" w:rsidP="00A43528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3528" w:rsidRPr="006D4F84" w:rsidRDefault="00A43528" w:rsidP="00A43528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A43528" w:rsidRPr="006D4F84" w:rsidRDefault="00A43528" w:rsidP="00A43528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 виды обучения:</w:t>
      </w:r>
    </w:p>
    <w:p w:rsidR="00A43528" w:rsidRPr="006D4F84" w:rsidRDefault="00A43528" w:rsidP="00A43528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A43528" w:rsidRPr="006D4F84" w:rsidRDefault="00A43528" w:rsidP="00A43528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A43528" w:rsidRPr="006D4F84" w:rsidRDefault="00A43528" w:rsidP="00A43528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A43528" w:rsidRPr="006D4F84" w:rsidRDefault="00A43528" w:rsidP="00A43528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A43528" w:rsidRPr="006D4F84" w:rsidRDefault="00A43528" w:rsidP="00A43528">
      <w:pPr>
        <w:keepNext/>
        <w:spacing w:after="0" w:line="240" w:lineRule="auto"/>
        <w:ind w:firstLine="624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6D4F8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Федеральным законом от 6 декабря </w:t>
      </w:r>
      <w:smartTag w:uri="urn:schemas-microsoft-com:office:smarttags" w:element="metricconverter">
        <w:smartTagPr>
          <w:attr w:name="ProductID" w:val="2001 г"/>
        </w:smartTagPr>
        <w:r w:rsidRPr="006D4F84">
          <w:rPr>
            <w:rFonts w:ascii="Times New Roman" w:eastAsia="Times New Roman" w:hAnsi="Times New Roman" w:cs="Times New Roman"/>
            <w:bCs/>
            <w:iCs/>
            <w:sz w:val="24"/>
            <w:szCs w:val="24"/>
            <w:lang w:val="x-none" w:eastAsia="x-none"/>
          </w:rPr>
          <w:t>2011 г</w:t>
        </w:r>
      </w:smartTag>
      <w:r w:rsidRPr="006D4F8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. № 402-ФЗ </w:t>
      </w:r>
      <w:r w:rsidRPr="006D4F84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br/>
        <w:t xml:space="preserve">«О бухгалтерском учете»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антикоррупционной политики, реализуемой учреждением, в том числе:</w:t>
      </w:r>
    </w:p>
    <w:p w:rsidR="00A43528" w:rsidRPr="006D4F84" w:rsidRDefault="00A43528" w:rsidP="00A43528">
      <w:pPr>
        <w:numPr>
          <w:ilvl w:val="0"/>
          <w:numId w:val="11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43528" w:rsidRPr="006D4F84" w:rsidRDefault="00A43528" w:rsidP="00A43528">
      <w:pPr>
        <w:numPr>
          <w:ilvl w:val="0"/>
          <w:numId w:val="11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документирования операций хозяйственной деятельности учреждения;</w:t>
      </w:r>
    </w:p>
    <w:p w:rsidR="00A43528" w:rsidRPr="006D4F84" w:rsidRDefault="00A43528" w:rsidP="00A43528">
      <w:pPr>
        <w:numPr>
          <w:ilvl w:val="0"/>
          <w:numId w:val="11"/>
        </w:numPr>
        <w:tabs>
          <w:tab w:val="num" w:pos="851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A43528" w:rsidRPr="006D4F84" w:rsidRDefault="00A43528" w:rsidP="00A43528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документирования операций хозяйственной </w:t>
      </w:r>
      <w:proofErr w:type="gramStart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A43528" w:rsidRPr="006D4F84" w:rsidRDefault="00A43528" w:rsidP="00A43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3528" w:rsidRPr="006D4F84" w:rsidRDefault="00DC3322" w:rsidP="00A43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10. </w:t>
      </w:r>
      <w:r w:rsidR="00A43528" w:rsidRPr="006D4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пересмотра и внесения изменений в антикоррупционную политику учреждения</w:t>
      </w:r>
    </w:p>
    <w:p w:rsidR="00A43528" w:rsidRPr="006D4F84" w:rsidRDefault="00A43528" w:rsidP="00A43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F57A6A" w:rsidRPr="006D4F84" w:rsidRDefault="00F57A6A">
      <w:pPr>
        <w:rPr>
          <w:rFonts w:ascii="Times New Roman" w:hAnsi="Times New Roman" w:cs="Times New Roman"/>
          <w:sz w:val="24"/>
          <w:szCs w:val="24"/>
        </w:rPr>
      </w:pPr>
    </w:p>
    <w:sectPr w:rsidR="00F57A6A" w:rsidRPr="006D4F84" w:rsidSect="00DC3322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781EAC"/>
    <w:multiLevelType w:val="hybridMultilevel"/>
    <w:tmpl w:val="FD789468"/>
    <w:lvl w:ilvl="0" w:tplc="F90E4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DF6B04"/>
    <w:multiLevelType w:val="hybridMultilevel"/>
    <w:tmpl w:val="2DF2E6AE"/>
    <w:lvl w:ilvl="0" w:tplc="9FE47B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28"/>
    <w:rsid w:val="000A1774"/>
    <w:rsid w:val="00445931"/>
    <w:rsid w:val="006D4F84"/>
    <w:rsid w:val="00A43528"/>
    <w:rsid w:val="00C20FD9"/>
    <w:rsid w:val="00DC3322"/>
    <w:rsid w:val="00E91CE1"/>
    <w:rsid w:val="00F5076F"/>
    <w:rsid w:val="00F5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Глава</cp:lastModifiedBy>
  <cp:revision>11</cp:revision>
  <cp:lastPrinted>2019-03-11T11:22:00Z</cp:lastPrinted>
  <dcterms:created xsi:type="dcterms:W3CDTF">2018-03-06T14:10:00Z</dcterms:created>
  <dcterms:modified xsi:type="dcterms:W3CDTF">2019-03-11T11:23:00Z</dcterms:modified>
</cp:coreProperties>
</file>